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16" w:rsidRDefault="00D81FED">
      <w:pPr>
        <w:spacing w:after="0"/>
        <w:jc w:val="right"/>
      </w:pPr>
      <w:bookmarkStart w:id="0" w:name="_GoBack"/>
      <w:bookmarkEnd w:id="0"/>
      <w:r>
        <w:rPr>
          <w:rFonts w:ascii="Lato Black"/>
          <w:b/>
        </w:rPr>
        <w:t>MSBA Core Manual</w:t>
      </w:r>
    </w:p>
    <w:p w:rsidR="00D82516" w:rsidRDefault="00D81FED">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D82516">
        <w:tblPrEx>
          <w:tblCellMar>
            <w:bottom w:w="0" w:type="dxa"/>
          </w:tblCellMar>
        </w:tblPrEx>
        <w:tc>
          <w:tcPr>
            <w:tcW w:w="0" w:type="auto"/>
            <w:shd w:val="clear" w:color="auto" w:fill="EFEFEF"/>
          </w:tcPr>
          <w:p w:rsidR="00D82516" w:rsidRDefault="00D81FED">
            <w:pPr>
              <w:spacing w:after="0"/>
            </w:pPr>
            <w:r>
              <w:rPr>
                <w:rFonts w:ascii="Lato Black"/>
                <w:b/>
              </w:rPr>
              <w:t>Policy IGCD: VIRTUAL COURSES</w:t>
            </w:r>
          </w:p>
        </w:tc>
        <w:tc>
          <w:tcPr>
            <w:tcW w:w="1000" w:type="pct"/>
            <w:shd w:val="clear" w:color="auto" w:fill="EFEFEF"/>
          </w:tcPr>
          <w:p w:rsidR="00D82516" w:rsidRDefault="00D81FED">
            <w:r>
              <w:rPr>
                <w:rFonts w:ascii="Lato Black"/>
                <w:b/>
              </w:rPr>
              <w:t xml:space="preserve">Status: </w:t>
            </w:r>
            <w:r>
              <w:rPr>
                <w:rFonts w:ascii="Lato"/>
              </w:rPr>
              <w:t>ADOPTED</w:t>
            </w:r>
          </w:p>
        </w:tc>
      </w:tr>
      <w:tr w:rsidR="00D82516">
        <w:tblPrEx>
          <w:tblCellMar>
            <w:bottom w:w="0" w:type="dxa"/>
          </w:tblCellMar>
        </w:tblPrEx>
        <w:tc>
          <w:tcPr>
            <w:tcW w:w="0" w:type="auto"/>
            <w:shd w:val="clear" w:color="auto" w:fill="EFEFEF"/>
          </w:tcPr>
          <w:p w:rsidR="00D82516" w:rsidRDefault="00D81FED">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01/01/2023</w:t>
            </w:r>
            <w:r>
              <w:rPr>
                <w:rFonts w:ascii="Lato Black"/>
                <w:b/>
                <w:sz w:val="18"/>
              </w:rPr>
              <w:t xml:space="preserve"> | Last Reviewed Date: </w:t>
            </w:r>
            <w:r>
              <w:rPr>
                <w:rFonts w:ascii="Lato"/>
                <w:sz w:val="18"/>
              </w:rPr>
              <w:t>01/01/2023</w:t>
            </w:r>
          </w:p>
        </w:tc>
        <w:tc>
          <w:tcPr>
            <w:tcW w:w="0" w:type="auto"/>
            <w:shd w:val="clear" w:color="auto" w:fill="EFEFEF"/>
          </w:tcPr>
          <w:p w:rsidR="00D82516" w:rsidRDefault="00D82516">
            <w:pPr>
              <w:spacing w:after="0"/>
            </w:pPr>
          </w:p>
        </w:tc>
      </w:tr>
    </w:tbl>
    <w:p w:rsidR="00D82516" w:rsidRDefault="00D82516">
      <w:pPr>
        <w:spacing w:after="30"/>
        <w:jc w:val="right"/>
      </w:pPr>
    </w:p>
    <w:p w:rsidR="00000000" w:rsidRDefault="00D81FED">
      <w:pPr>
        <w:divId w:val="1784182020"/>
        <w:rPr>
          <w:rFonts w:ascii="Lato" w:eastAsia="Times New Roman" w:hAnsi="Lato"/>
        </w:rPr>
      </w:pPr>
      <w:r>
        <w:rPr>
          <w:rFonts w:ascii="Lato" w:eastAsia="Times New Roman" w:hAnsi="Lato"/>
        </w:rPr>
        <w:t>This policy governs part-time enrollment with a hosted Missouri Course Access and Virtual School Program (MOCAP) provider, full- and part-time enrollment with other MOCAP providers, and enrollment in other virtual course options provided through the distri</w:t>
      </w:r>
      <w:r>
        <w:rPr>
          <w:rFonts w:ascii="Lato" w:eastAsia="Times New Roman" w:hAnsi="Lato"/>
        </w:rPr>
        <w:t xml:space="preserve">ct. Students who seek full-time enrollment with a hosted MOCAP provider must enroll pursuant to policy IGCDA. </w:t>
      </w:r>
    </w:p>
    <w:p w:rsidR="00000000" w:rsidRDefault="00D81FED">
      <w:pPr>
        <w:pStyle w:val="Heading3"/>
        <w:divId w:val="1784182020"/>
        <w:rPr>
          <w:rFonts w:ascii="Lato" w:eastAsia="Times New Roman" w:hAnsi="Lato"/>
        </w:rPr>
      </w:pPr>
      <w:r>
        <w:rPr>
          <w:rFonts w:ascii="Lato" w:eastAsia="Times New Roman" w:hAnsi="Lato"/>
        </w:rPr>
        <w:t>Definitions</w:t>
      </w:r>
    </w:p>
    <w:p w:rsidR="00000000" w:rsidRDefault="00D81FED">
      <w:pPr>
        <w:divId w:val="1784182020"/>
        <w:rPr>
          <w:rFonts w:ascii="Lato" w:eastAsia="Times New Roman" w:hAnsi="Lato"/>
        </w:rPr>
      </w:pPr>
      <w:r>
        <w:rPr>
          <w:rFonts w:ascii="Lato" w:eastAsia="Times New Roman" w:hAnsi="Lato"/>
        </w:rPr>
        <w:br/>
      </w:r>
      <w:proofErr w:type="gramStart"/>
      <w:r>
        <w:rPr>
          <w:rStyle w:val="Emphasis"/>
          <w:rFonts w:ascii="Lato" w:eastAsia="Times New Roman" w:hAnsi="Lato"/>
        </w:rPr>
        <w:t>Full-Time Virtual Course Enrollment</w:t>
      </w:r>
      <w:r>
        <w:rPr>
          <w:rFonts w:ascii="Lato" w:eastAsia="Times New Roman" w:hAnsi="Lato"/>
        </w:rPr>
        <w:t xml:space="preserve"> – The instructional equivalent of six credits per regular term.</w:t>
      </w:r>
      <w:proofErr w:type="gramEnd"/>
      <w:r>
        <w:rPr>
          <w:rFonts w:ascii="Lato" w:eastAsia="Times New Roman" w:hAnsi="Lato"/>
        </w:rPr>
        <w:br/>
      </w:r>
      <w:r>
        <w:rPr>
          <w:rFonts w:ascii="Lato" w:eastAsia="Times New Roman" w:hAnsi="Lato"/>
        </w:rPr>
        <w:br/>
      </w:r>
      <w:proofErr w:type="gramStart"/>
      <w:r>
        <w:rPr>
          <w:rStyle w:val="Emphasis"/>
          <w:rFonts w:ascii="Lato" w:eastAsia="Times New Roman" w:hAnsi="Lato"/>
        </w:rPr>
        <w:t>Hosted MOCAP Provider</w:t>
      </w:r>
      <w:r>
        <w:rPr>
          <w:rFonts w:ascii="Lato" w:eastAsia="Times New Roman" w:hAnsi="Lato"/>
        </w:rPr>
        <w:t xml:space="preserve"> </w:t>
      </w:r>
      <w:r>
        <w:rPr>
          <w:rFonts w:ascii="Lato" w:eastAsia="Times New Roman" w:hAnsi="Lato"/>
        </w:rPr>
        <w:t>– A public school district, charter school or higher education institution that is registered through the Department of Elementary and Secondary Education (DESE) to provide virtual education through the MOCAP program to Missouri students.</w:t>
      </w:r>
      <w:proofErr w:type="gramEnd"/>
      <w:r>
        <w:rPr>
          <w:rFonts w:ascii="Lato" w:eastAsia="Times New Roman" w:hAnsi="Lato"/>
        </w:rPr>
        <w:t xml:space="preserve"> A host district m</w:t>
      </w:r>
      <w:r>
        <w:rPr>
          <w:rFonts w:ascii="Lato" w:eastAsia="Times New Roman" w:hAnsi="Lato"/>
        </w:rPr>
        <w:t>ay provide the courses directly or contract with a course provider to provide the courses.</w:t>
      </w:r>
      <w:r>
        <w:rPr>
          <w:rFonts w:ascii="Lato" w:eastAsia="Times New Roman" w:hAnsi="Lato"/>
        </w:rPr>
        <w:br/>
      </w:r>
      <w:r>
        <w:rPr>
          <w:rFonts w:ascii="Lato" w:eastAsia="Times New Roman" w:hAnsi="Lato"/>
        </w:rPr>
        <w:br/>
      </w:r>
      <w:r>
        <w:rPr>
          <w:rStyle w:val="Emphasis"/>
          <w:rFonts w:ascii="Lato" w:eastAsia="Times New Roman" w:hAnsi="Lato"/>
        </w:rPr>
        <w:t>MOCAP Provider</w:t>
      </w:r>
      <w:r>
        <w:rPr>
          <w:rFonts w:ascii="Lato" w:eastAsia="Times New Roman" w:hAnsi="Lato"/>
        </w:rPr>
        <w:t xml:space="preserve"> – An entity listed by DESE as part of the virtual course program under § 161.670, </w:t>
      </w:r>
      <w:proofErr w:type="spellStart"/>
      <w:proofErr w:type="gramStart"/>
      <w:r>
        <w:rPr>
          <w:rFonts w:ascii="Lato" w:eastAsia="Times New Roman" w:hAnsi="Lato"/>
        </w:rPr>
        <w:t>RSMo</w:t>
      </w:r>
      <w:proofErr w:type="spellEnd"/>
      <w:r>
        <w:rPr>
          <w:rFonts w:ascii="Lato" w:eastAsia="Times New Roman" w:hAnsi="Lato"/>
        </w:rPr>
        <w:t>.,</w:t>
      </w:r>
      <w:proofErr w:type="gramEnd"/>
      <w:r>
        <w:rPr>
          <w:rFonts w:ascii="Lato" w:eastAsia="Times New Roman" w:hAnsi="Lato"/>
        </w:rPr>
        <w:t xml:space="preserve"> that provides virtual courses for elementary and/or secondar</w:t>
      </w:r>
      <w:r>
        <w:rPr>
          <w:rFonts w:ascii="Lato" w:eastAsia="Times New Roman" w:hAnsi="Lato"/>
        </w:rPr>
        <w:t>y students.</w:t>
      </w:r>
      <w:r>
        <w:rPr>
          <w:rFonts w:ascii="Lato" w:eastAsia="Times New Roman" w:hAnsi="Lato"/>
        </w:rPr>
        <w:br/>
      </w:r>
      <w:r>
        <w:rPr>
          <w:rFonts w:ascii="Lato" w:eastAsia="Times New Roman" w:hAnsi="Lato"/>
        </w:rPr>
        <w:br/>
      </w:r>
      <w:proofErr w:type="gramStart"/>
      <w:r>
        <w:rPr>
          <w:rStyle w:val="Emphasis"/>
          <w:rFonts w:ascii="Lato" w:eastAsia="Times New Roman" w:hAnsi="Lato"/>
        </w:rPr>
        <w:t>Virtual Course</w:t>
      </w:r>
      <w:r>
        <w:rPr>
          <w:rFonts w:ascii="Lato" w:eastAsia="Times New Roman" w:hAnsi="Lato"/>
        </w:rPr>
        <w:t xml:space="preserve"> – A single class that is designed to deliver all or most of the curriculum electronically.</w:t>
      </w:r>
      <w:proofErr w:type="gramEnd"/>
      <w:r>
        <w:rPr>
          <w:rFonts w:ascii="Lato" w:eastAsia="Times New Roman" w:hAnsi="Lato"/>
        </w:rPr>
        <w:t xml:space="preserve"> Students may be separated from their instructor or teacher of record by time, location or both. </w:t>
      </w:r>
    </w:p>
    <w:p w:rsidR="00000000" w:rsidRDefault="00D81FED">
      <w:pPr>
        <w:pStyle w:val="Heading3"/>
        <w:divId w:val="1784182020"/>
        <w:rPr>
          <w:rFonts w:ascii="Lato" w:eastAsia="Times New Roman" w:hAnsi="Lato"/>
        </w:rPr>
      </w:pPr>
      <w:r>
        <w:rPr>
          <w:rFonts w:ascii="Lato" w:eastAsia="Times New Roman" w:hAnsi="Lato"/>
        </w:rPr>
        <w:t>General</w:t>
      </w:r>
    </w:p>
    <w:p w:rsidR="00000000" w:rsidRDefault="00D81FED">
      <w:pPr>
        <w:divId w:val="1784182020"/>
        <w:rPr>
          <w:rFonts w:ascii="Lato" w:eastAsia="Times New Roman" w:hAnsi="Lato"/>
        </w:rPr>
      </w:pPr>
      <w:r>
        <w:rPr>
          <w:rFonts w:ascii="Lato" w:eastAsia="Times New Roman" w:hAnsi="Lato"/>
        </w:rPr>
        <w:br/>
        <w:t xml:space="preserve">The district may offer virtual </w:t>
      </w:r>
      <w:r>
        <w:rPr>
          <w:rFonts w:ascii="Lato" w:eastAsia="Times New Roman" w:hAnsi="Lato"/>
        </w:rPr>
        <w:t>courses to students through district staff or by contracting for those services as part of the district-sponsored curriculum.  Students may also enroll in virtual courses offered through MOCAP providers. This could result in entire course loads that are pr</w:t>
      </w:r>
      <w:r>
        <w:rPr>
          <w:rFonts w:ascii="Lato" w:eastAsia="Times New Roman" w:hAnsi="Lato"/>
        </w:rPr>
        <w:t>ovided through virtual courses from the district, district-selected and/or MOCAP providers while the student remains enrolled in the district.</w:t>
      </w:r>
      <w:r>
        <w:rPr>
          <w:rFonts w:ascii="Lato" w:eastAsia="Times New Roman" w:hAnsi="Lato"/>
        </w:rPr>
        <w:br/>
      </w:r>
      <w:r>
        <w:rPr>
          <w:rFonts w:ascii="Lato" w:eastAsia="Times New Roman" w:hAnsi="Lato"/>
        </w:rPr>
        <w:br/>
        <w:t>Students may also take virtual courses from other sources at their own expense. Before a student independently e</w:t>
      </w:r>
      <w:r>
        <w:rPr>
          <w:rFonts w:ascii="Lato" w:eastAsia="Times New Roman" w:hAnsi="Lato"/>
        </w:rPr>
        <w:t>nrolls in and pays for virtual courses not otherwise accessible through the district, the district recommends that the student meet with district staff to ensure that the course aligns with the student's education goals and that the district will accept th</w:t>
      </w:r>
      <w:r>
        <w:rPr>
          <w:rFonts w:ascii="Lato" w:eastAsia="Times New Roman" w:hAnsi="Lato"/>
        </w:rPr>
        <w:t xml:space="preserve">e course credit. </w:t>
      </w:r>
    </w:p>
    <w:p w:rsidR="00000000" w:rsidRDefault="00D81FED">
      <w:pPr>
        <w:pStyle w:val="Heading3"/>
        <w:divId w:val="1784182020"/>
        <w:rPr>
          <w:rFonts w:ascii="Lato" w:eastAsia="Times New Roman" w:hAnsi="Lato"/>
        </w:rPr>
      </w:pPr>
      <w:r>
        <w:rPr>
          <w:rFonts w:ascii="Lato" w:eastAsia="Times New Roman" w:hAnsi="Lato"/>
        </w:rPr>
        <w:t>Virtual Course Enrollment</w:t>
      </w:r>
    </w:p>
    <w:p w:rsidR="00000000" w:rsidRDefault="00D81FED">
      <w:pPr>
        <w:divId w:val="1784182020"/>
        <w:rPr>
          <w:rFonts w:ascii="Lato" w:eastAsia="Times New Roman" w:hAnsi="Lato"/>
        </w:rPr>
      </w:pPr>
      <w:r>
        <w:rPr>
          <w:rFonts w:ascii="Lato" w:eastAsia="Times New Roman" w:hAnsi="Lato"/>
        </w:rPr>
        <w:br/>
        <w:t>A student or parent/guardian must receive district approval before the student may enroll in virtual courses provided by or paid for by the district or through MOCAP.</w:t>
      </w:r>
      <w:r>
        <w:rPr>
          <w:rFonts w:ascii="Lato" w:eastAsia="Times New Roman" w:hAnsi="Lato"/>
        </w:rPr>
        <w:br/>
      </w:r>
      <w:r>
        <w:rPr>
          <w:rFonts w:ascii="Lato" w:eastAsia="Times New Roman" w:hAnsi="Lato"/>
        </w:rPr>
        <w:br/>
        <w:t>Enrollment in courses offered through MOCAP</w:t>
      </w:r>
      <w:r>
        <w:rPr>
          <w:rFonts w:ascii="Lato" w:eastAsia="Times New Roman" w:hAnsi="Lato"/>
        </w:rPr>
        <w:t xml:space="preserve"> may be denied only if the principal or designee, in consultation with the student's parents/guardians and relevant staff, determines that it is not in the student's </w:t>
      </w:r>
      <w:r>
        <w:rPr>
          <w:rFonts w:ascii="Lato" w:eastAsia="Times New Roman" w:hAnsi="Lato"/>
        </w:rPr>
        <w:lastRenderedPageBreak/>
        <w:t>best educational interest to enroll in the course. The principal or designee will consider</w:t>
      </w:r>
      <w:r>
        <w:rPr>
          <w:rFonts w:ascii="Lato" w:eastAsia="Times New Roman" w:hAnsi="Lato"/>
        </w:rPr>
        <w:t xml:space="preserve"> available opportunities for in-person instruction and the student's prior participation in virtual courses when making this decision. As required by law, the district allows for continuous enrollment in MOCAP courses throughout the year. The principal or </w:t>
      </w:r>
      <w:r>
        <w:rPr>
          <w:rFonts w:ascii="Lato" w:eastAsia="Times New Roman" w:hAnsi="Lato"/>
        </w:rPr>
        <w:t xml:space="preserve">designee will approve or deny requests to enroll in a MOCAP course within the timeframe required by law. </w:t>
      </w:r>
    </w:p>
    <w:p w:rsidR="00000000" w:rsidRDefault="00D81FED">
      <w:pPr>
        <w:pStyle w:val="Heading3"/>
        <w:divId w:val="1784182020"/>
        <w:rPr>
          <w:rFonts w:ascii="Lato" w:eastAsia="Times New Roman" w:hAnsi="Lato"/>
        </w:rPr>
      </w:pPr>
      <w:r>
        <w:rPr>
          <w:rFonts w:ascii="Lato" w:eastAsia="Times New Roman" w:hAnsi="Lato"/>
        </w:rPr>
        <w:t>Enrollment Decision Review</w:t>
      </w:r>
    </w:p>
    <w:p w:rsidR="00000000" w:rsidRDefault="00D81FED">
      <w:pPr>
        <w:divId w:val="1784182020"/>
        <w:rPr>
          <w:rFonts w:ascii="Lato" w:eastAsia="Times New Roman" w:hAnsi="Lato"/>
        </w:rPr>
      </w:pPr>
      <w:r>
        <w:rPr>
          <w:rFonts w:ascii="Lato" w:eastAsia="Times New Roman" w:hAnsi="Lato"/>
        </w:rPr>
        <w:br/>
        <w:t>The principal or designee will notify the student and the parents/guardians in writing when declining student enrollment i</w:t>
      </w:r>
      <w:r>
        <w:rPr>
          <w:rFonts w:ascii="Lato" w:eastAsia="Times New Roman" w:hAnsi="Lato"/>
        </w:rPr>
        <w:t xml:space="preserve">n a virtual course and provide an explanation for the decision. The student or parent/guardian may request that the superintendent review the decision, but the superintendent’s decision is final. </w:t>
      </w:r>
    </w:p>
    <w:p w:rsidR="00000000" w:rsidRDefault="00D81FED">
      <w:pPr>
        <w:pStyle w:val="Heading3"/>
        <w:divId w:val="1784182020"/>
        <w:rPr>
          <w:rFonts w:ascii="Lato" w:eastAsia="Times New Roman" w:hAnsi="Lato"/>
        </w:rPr>
      </w:pPr>
      <w:r>
        <w:rPr>
          <w:rFonts w:ascii="Lato" w:eastAsia="Times New Roman" w:hAnsi="Lato"/>
        </w:rPr>
        <w:t>Students with Disabilities</w:t>
      </w:r>
    </w:p>
    <w:p w:rsidR="00000000" w:rsidRDefault="00D81FED">
      <w:pPr>
        <w:divId w:val="1784182020"/>
        <w:rPr>
          <w:rFonts w:ascii="Lato" w:eastAsia="Times New Roman" w:hAnsi="Lato"/>
        </w:rPr>
      </w:pPr>
      <w:r>
        <w:rPr>
          <w:rFonts w:ascii="Lato" w:eastAsia="Times New Roman" w:hAnsi="Lato"/>
        </w:rPr>
        <w:br/>
        <w:t>A student's individualized educ</w:t>
      </w:r>
      <w:r>
        <w:rPr>
          <w:rFonts w:ascii="Lato" w:eastAsia="Times New Roman" w:hAnsi="Lato"/>
        </w:rPr>
        <w:t>ation program (IEP) team or Section 504 team will make the virtual course enrollment decisions for students with IEPs or Section 504 plans. If enrollment is appropriate, the IEP or Section 504 team will determine the services, aids, supports and accommodat</w:t>
      </w:r>
      <w:r>
        <w:rPr>
          <w:rFonts w:ascii="Lato" w:eastAsia="Times New Roman" w:hAnsi="Lato"/>
        </w:rPr>
        <w:t xml:space="preserve">ions required. Any review of a decision made by an IEP or Section 504 team must go through the process provided under federal law. </w:t>
      </w:r>
    </w:p>
    <w:p w:rsidR="00000000" w:rsidRDefault="00D81FED">
      <w:pPr>
        <w:pStyle w:val="Heading3"/>
        <w:divId w:val="1784182020"/>
        <w:rPr>
          <w:rFonts w:ascii="Lato" w:eastAsia="Times New Roman" w:hAnsi="Lato"/>
        </w:rPr>
      </w:pPr>
      <w:r>
        <w:rPr>
          <w:rFonts w:ascii="Lato" w:eastAsia="Times New Roman" w:hAnsi="Lato"/>
        </w:rPr>
        <w:t>Attendance and Completion</w:t>
      </w:r>
    </w:p>
    <w:p w:rsidR="00000000" w:rsidRDefault="00D81FED">
      <w:pPr>
        <w:divId w:val="1784182020"/>
        <w:rPr>
          <w:rFonts w:ascii="Lato" w:eastAsia="Times New Roman" w:hAnsi="Lato"/>
        </w:rPr>
      </w:pPr>
      <w:r>
        <w:rPr>
          <w:rFonts w:ascii="Lato" w:eastAsia="Times New Roman" w:hAnsi="Lato"/>
        </w:rPr>
        <w:br/>
        <w:t>Students who enroll in district-sponsored virtual courses or MOCAP courses through the district a</w:t>
      </w:r>
      <w:r>
        <w:rPr>
          <w:rFonts w:ascii="Lato" w:eastAsia="Times New Roman" w:hAnsi="Lato"/>
        </w:rPr>
        <w:t>re expected to actively participate in those courses with the goal of completing the course. If a student does not actively participate in a course or is not progressing in the course, the district may remove the student from the virtual course and conside</w:t>
      </w:r>
      <w:r>
        <w:rPr>
          <w:rFonts w:ascii="Lato" w:eastAsia="Times New Roman" w:hAnsi="Lato"/>
        </w:rPr>
        <w:t>r the student’s performance when making decisions regarding future virtual course enrollments.</w:t>
      </w:r>
      <w:r>
        <w:rPr>
          <w:rFonts w:ascii="Lato" w:eastAsia="Times New Roman" w:hAnsi="Lato"/>
        </w:rPr>
        <w:br/>
      </w:r>
      <w:r>
        <w:rPr>
          <w:rFonts w:ascii="Lato" w:eastAsia="Times New Roman" w:hAnsi="Lato"/>
        </w:rPr>
        <w:br/>
        <w:t>Students enrolled in a district-sponsored course or MOCAP course through the district will be considered in attendance for state aid purposes in accordance with</w:t>
      </w:r>
      <w:r>
        <w:rPr>
          <w:rFonts w:ascii="Lato" w:eastAsia="Times New Roman" w:hAnsi="Lato"/>
        </w:rPr>
        <w:t xml:space="preserve"> law. A completed virtual course or MOCAP course shall be counted as no less than 95 percent attendance for purposes of A+ Scholarship Program eligibility. </w:t>
      </w:r>
    </w:p>
    <w:p w:rsidR="00000000" w:rsidRDefault="00D81FED">
      <w:pPr>
        <w:pStyle w:val="Heading3"/>
        <w:divId w:val="1784182020"/>
        <w:rPr>
          <w:rFonts w:ascii="Lato" w:eastAsia="Times New Roman" w:hAnsi="Lato"/>
        </w:rPr>
      </w:pPr>
      <w:r>
        <w:rPr>
          <w:rFonts w:ascii="Lato" w:eastAsia="Times New Roman" w:hAnsi="Lato"/>
        </w:rPr>
        <w:t>Eligibility for Extracurricular Activities</w:t>
      </w:r>
    </w:p>
    <w:p w:rsidR="00000000" w:rsidRDefault="00D81FED">
      <w:pPr>
        <w:divId w:val="1784182020"/>
        <w:rPr>
          <w:rFonts w:ascii="Lato" w:eastAsia="Times New Roman" w:hAnsi="Lato"/>
        </w:rPr>
      </w:pPr>
      <w:r>
        <w:rPr>
          <w:rFonts w:ascii="Lato" w:eastAsia="Times New Roman" w:hAnsi="Lato"/>
        </w:rPr>
        <w:br/>
        <w:t>Students enrolled in virtual courses offered through th</w:t>
      </w:r>
      <w:r>
        <w:rPr>
          <w:rFonts w:ascii="Lato" w:eastAsia="Times New Roman" w:hAnsi="Lato"/>
        </w:rPr>
        <w:t>e district or through MOCAP under this policy are considered district students and are eligible to participate in extracurricular activities unless restricted by the Missouri State High School Activities Association. </w:t>
      </w:r>
      <w:r>
        <w:rPr>
          <w:rFonts w:ascii="Lato" w:eastAsia="Times New Roman" w:hAnsi="Lato"/>
        </w:rPr>
        <w:br/>
        <w:t>State Assessments</w:t>
      </w:r>
      <w:r>
        <w:rPr>
          <w:rFonts w:ascii="Lato" w:eastAsia="Times New Roman" w:hAnsi="Lato"/>
        </w:rPr>
        <w:br/>
      </w:r>
      <w:r>
        <w:rPr>
          <w:rFonts w:ascii="Lato" w:eastAsia="Times New Roman" w:hAnsi="Lato"/>
        </w:rPr>
        <w:br/>
        <w:t>Students are requir</w:t>
      </w:r>
      <w:r>
        <w:rPr>
          <w:rFonts w:ascii="Lato" w:eastAsia="Times New Roman" w:hAnsi="Lato"/>
        </w:rPr>
        <w:t xml:space="preserve">ed to take the state assessments, including district-administered EOC examinations, regardless of whether the course for which the examination is required was taken virtually or in person. </w:t>
      </w:r>
    </w:p>
    <w:p w:rsidR="00000000" w:rsidRDefault="00D81FED">
      <w:pPr>
        <w:pStyle w:val="Heading3"/>
        <w:divId w:val="1784182020"/>
        <w:rPr>
          <w:rFonts w:ascii="Lato" w:eastAsia="Times New Roman" w:hAnsi="Lato"/>
        </w:rPr>
      </w:pPr>
      <w:r>
        <w:rPr>
          <w:rFonts w:ascii="Lato" w:eastAsia="Times New Roman" w:hAnsi="Lato"/>
        </w:rPr>
        <w:t>Credit</w:t>
      </w:r>
    </w:p>
    <w:p w:rsidR="00000000" w:rsidRDefault="00D81FED">
      <w:pPr>
        <w:divId w:val="1784182020"/>
        <w:rPr>
          <w:rFonts w:ascii="Lato" w:eastAsia="Times New Roman" w:hAnsi="Lato"/>
        </w:rPr>
      </w:pPr>
      <w:r>
        <w:rPr>
          <w:rFonts w:ascii="Lato" w:eastAsia="Times New Roman" w:hAnsi="Lato"/>
        </w:rPr>
        <w:br/>
        <w:t>The district will accept all grades and credits earned thr</w:t>
      </w:r>
      <w:r>
        <w:rPr>
          <w:rFonts w:ascii="Lato" w:eastAsia="Times New Roman" w:hAnsi="Lato"/>
        </w:rPr>
        <w:t xml:space="preserve">ough district-sponsored virtual instruction and MOCAP providers. Credits obtained from other sources will be recognized in accordance with policy JECC. </w:t>
      </w:r>
    </w:p>
    <w:p w:rsidR="00000000" w:rsidRDefault="00D81FED">
      <w:pPr>
        <w:pStyle w:val="Heading3"/>
        <w:divId w:val="1784182020"/>
        <w:rPr>
          <w:rFonts w:ascii="Lato" w:eastAsia="Times New Roman" w:hAnsi="Lato"/>
        </w:rPr>
      </w:pPr>
      <w:r>
        <w:rPr>
          <w:rFonts w:ascii="Lato" w:eastAsia="Times New Roman" w:hAnsi="Lato"/>
        </w:rPr>
        <w:lastRenderedPageBreak/>
        <w:t>Notice</w:t>
      </w:r>
    </w:p>
    <w:p w:rsidR="00000000" w:rsidRDefault="00D81FED">
      <w:pPr>
        <w:divId w:val="1784182020"/>
        <w:rPr>
          <w:rFonts w:ascii="Lato" w:eastAsia="Times New Roman" w:hAnsi="Lato"/>
        </w:rPr>
      </w:pPr>
      <w:r>
        <w:rPr>
          <w:rFonts w:ascii="Lato" w:eastAsia="Times New Roman" w:hAnsi="Lato"/>
        </w:rPr>
        <w:br/>
        <w:t>District-provided and district-sponsored virtual courses will be advertised in the district’s c</w:t>
      </w:r>
      <w:r>
        <w:rPr>
          <w:rFonts w:ascii="Lato" w:eastAsia="Times New Roman" w:hAnsi="Lato"/>
        </w:rPr>
        <w:t>ourse catalog.</w:t>
      </w:r>
      <w:r>
        <w:rPr>
          <w:rFonts w:ascii="Lato" w:eastAsia="Times New Roman" w:hAnsi="Lato"/>
        </w:rPr>
        <w:br/>
      </w:r>
      <w:r>
        <w:rPr>
          <w:rFonts w:ascii="Lato" w:eastAsia="Times New Roman" w:hAnsi="Lato"/>
        </w:rPr>
        <w:br/>
        <w:t>The district will inform students and parents/guardians of MOCAP program availability in parent/guardian handbooks and registration documents and feature the program on the homepage of the district's website, as required by law. The distric</w:t>
      </w:r>
      <w:r>
        <w:rPr>
          <w:rFonts w:ascii="Lato" w:eastAsia="Times New Roman" w:hAnsi="Lato"/>
        </w:rPr>
        <w:t>t will provide every student enrolled in the district and parents/guardians with a copy of DESE's MOCAP guidance document at the beginning of the school year or upon enrollment. In addition, the district will provide a readily viewable link to the guidance</w:t>
      </w:r>
      <w:r>
        <w:rPr>
          <w:rFonts w:ascii="Lato" w:eastAsia="Times New Roman" w:hAnsi="Lato"/>
        </w:rPr>
        <w:t xml:space="preserve"> document on the main page of its website. </w:t>
      </w:r>
    </w:p>
    <w:p w:rsidR="00000000" w:rsidRDefault="00D81FED">
      <w:pPr>
        <w:pStyle w:val="Heading3"/>
        <w:divId w:val="1784182020"/>
        <w:rPr>
          <w:rFonts w:ascii="Lato" w:eastAsia="Times New Roman" w:hAnsi="Lato"/>
        </w:rPr>
      </w:pPr>
      <w:r>
        <w:rPr>
          <w:rFonts w:ascii="Lato" w:eastAsia="Times New Roman" w:hAnsi="Lato"/>
        </w:rPr>
        <w:t>Payment</w:t>
      </w:r>
    </w:p>
    <w:p w:rsidR="00000000" w:rsidRDefault="00D81FED">
      <w:pPr>
        <w:divId w:val="1784182020"/>
        <w:rPr>
          <w:rFonts w:ascii="Lato" w:eastAsia="Times New Roman" w:hAnsi="Lato"/>
        </w:rPr>
      </w:pPr>
      <w:r>
        <w:rPr>
          <w:rFonts w:ascii="Lato" w:eastAsia="Times New Roman" w:hAnsi="Lato"/>
        </w:rPr>
        <w:br/>
        <w:t>The district will pay the tuition for MOCAP courses when required by law to do so but is not otherwise required to pay the tuition for a student to attend a virtual course unless the course is approved b</w:t>
      </w:r>
      <w:r>
        <w:rPr>
          <w:rFonts w:ascii="Lato" w:eastAsia="Times New Roman" w:hAnsi="Lato"/>
        </w:rPr>
        <w:t xml:space="preserve">y the district as part of the district's course offerings. </w:t>
      </w:r>
    </w:p>
    <w:p w:rsidR="00000000" w:rsidRDefault="00D81FED">
      <w:pPr>
        <w:pStyle w:val="Heading3"/>
        <w:divId w:val="1784182020"/>
        <w:rPr>
          <w:rFonts w:ascii="Lato" w:eastAsia="Times New Roman" w:hAnsi="Lato"/>
        </w:rPr>
      </w:pPr>
      <w:r>
        <w:rPr>
          <w:rFonts w:ascii="Lato" w:eastAsia="Times New Roman" w:hAnsi="Lato"/>
        </w:rPr>
        <w:t>Virtual Course Behavior and Expectations</w:t>
      </w:r>
    </w:p>
    <w:p w:rsidR="00000000" w:rsidRDefault="00D81FED">
      <w:pPr>
        <w:divId w:val="1784182020"/>
        <w:rPr>
          <w:rFonts w:ascii="Lato" w:eastAsia="Times New Roman" w:hAnsi="Lato"/>
        </w:rPr>
      </w:pPr>
      <w:r>
        <w:rPr>
          <w:rFonts w:ascii="Lato" w:eastAsia="Times New Roman" w:hAnsi="Lato"/>
        </w:rPr>
        <w:br/>
        <w:t>Students taking courses virtually are subject to district policies, procedures and rules applicable to students enrolled in traditional courses including,</w:t>
      </w:r>
      <w:r>
        <w:rPr>
          <w:rFonts w:ascii="Lato" w:eastAsia="Times New Roman" w:hAnsi="Lato"/>
        </w:rPr>
        <w:t xml:space="preserve"> but not limited to, the district's code of conduct and prohibitions on academic dishonesty, discrimination, harassment, bullying and cyberbullying.</w:t>
      </w:r>
      <w:r>
        <w:rPr>
          <w:rFonts w:ascii="Lato" w:eastAsia="Times New Roman" w:hAnsi="Lato"/>
        </w:rPr>
        <w:br/>
      </w:r>
      <w:r>
        <w:rPr>
          <w:rFonts w:ascii="Lato" w:eastAsia="Times New Roman" w:hAnsi="Lato"/>
        </w:rPr>
        <w:br/>
        <w:t>When students are participating in virtual courses, what can be seen and heard electronically from the stu</w:t>
      </w:r>
      <w:r>
        <w:rPr>
          <w:rFonts w:ascii="Lato" w:eastAsia="Times New Roman" w:hAnsi="Lato"/>
        </w:rPr>
        <w:t>dent's location becomes part of the district's education environment. Students are responsible for ensuring that what is seen, heard or otherwise communicated is appropriate for the learning environment and not disruptive. The district's code of conduct ap</w:t>
      </w:r>
      <w:r>
        <w:rPr>
          <w:rFonts w:ascii="Lato" w:eastAsia="Times New Roman" w:hAnsi="Lato"/>
        </w:rPr>
        <w:t>plies to virtual in-class behavior. Student speech that is prohibited on campus is also prohibited in the virtual classroom.</w:t>
      </w:r>
      <w:r>
        <w:rPr>
          <w:rFonts w:ascii="Lato" w:eastAsia="Times New Roman" w:hAnsi="Lato"/>
        </w:rPr>
        <w:br/>
      </w:r>
      <w:r>
        <w:rPr>
          <w:rFonts w:ascii="Lato" w:eastAsia="Times New Roman" w:hAnsi="Lato"/>
        </w:rPr>
        <w:br/>
        <w:t xml:space="preserve">Students may electronically display everyday items that they would be prohibited from possessing at school (such as pets, toys or </w:t>
      </w:r>
      <w:r>
        <w:rPr>
          <w:rFonts w:ascii="Lato" w:eastAsia="Times New Roman" w:hAnsi="Lato"/>
        </w:rPr>
        <w:t>objects forming typical room décor) as long as the display does not disrupt learning.</w:t>
      </w:r>
      <w:r>
        <w:rPr>
          <w:rFonts w:ascii="Lato" w:eastAsia="Times New Roman" w:hAnsi="Lato"/>
        </w:rPr>
        <w:br/>
        <w:t xml:space="preserve">  </w:t>
      </w:r>
    </w:p>
    <w:p w:rsidR="00D82516" w:rsidRDefault="00D81FED">
      <w:pPr>
        <w:spacing w:after="0"/>
      </w:pPr>
      <w:proofErr w:type="gramStart"/>
      <w:r>
        <w:rPr>
          <w:rFonts w:ascii="Lato"/>
        </w:rPr>
        <w:t>©</w:t>
      </w:r>
      <w:r>
        <w:rPr>
          <w:rFonts w:ascii="Lato"/>
        </w:rPr>
        <w:t xml:space="preserve"> 2023, Missouri School Boards' Association.</w:t>
      </w:r>
      <w:proofErr w:type="gramEnd"/>
    </w:p>
    <w:p w:rsidR="00D82516" w:rsidRDefault="00D81FED">
      <w:pPr>
        <w:spacing w:after="0"/>
      </w:pPr>
      <w:r>
        <w:rPr>
          <w:rFonts w:ascii="Lato"/>
        </w:rPr>
        <w:t xml:space="preserve">Version: </w:t>
      </w:r>
      <w:r>
        <w:rPr>
          <w:rFonts w:ascii="Lato"/>
        </w:rPr>
        <w:t>[IGCD-C.1C (1/23)]</w:t>
      </w:r>
    </w:p>
    <w:p w:rsidR="00D82516" w:rsidRDefault="00D82516">
      <w:pPr>
        <w:pBdr>
          <w:bottom w:val="single" w:sz="5" w:space="1" w:color="auto"/>
        </w:pBdr>
      </w:pPr>
    </w:p>
    <w:p w:rsidR="00000000" w:rsidRDefault="00D81FED">
      <w:pPr>
        <w:divId w:val="913902111"/>
        <w:rPr>
          <w:rFonts w:ascii="Lato" w:eastAsia="Times New Roman" w:hAnsi="Lato"/>
        </w:rPr>
      </w:pPr>
      <w:r>
        <w:rPr>
          <w:rFonts w:ascii="Lato" w:eastAsia="Times New Roman" w:hAnsi="Lato"/>
        </w:rPr>
        <w:t> </w:t>
      </w:r>
    </w:p>
    <w:p w:rsidR="00000000" w:rsidRDefault="00D81FED">
      <w:pPr>
        <w:pStyle w:val="Heading2"/>
        <w:shd w:val="clear" w:color="auto" w:fill="FFFFFF"/>
        <w:spacing w:before="0" w:beforeAutospacing="0" w:after="0" w:afterAutospacing="0"/>
        <w:textAlignment w:val="baseline"/>
        <w:divId w:val="400716702"/>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D81FED">
      <w:pPr>
        <w:divId w:val="400716702"/>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D82516">
        <w:tblPrEx>
          <w:tblCellMar>
            <w:top w:w="0" w:type="dxa"/>
            <w:bottom w:w="0" w:type="dxa"/>
          </w:tblCellMar>
        </w:tblPrEx>
        <w:tc>
          <w:tcPr>
            <w:tcW w:w="4017" w:type="dxa"/>
          </w:tcPr>
          <w:p w:rsidR="00D82516" w:rsidRDefault="00D81FED">
            <w:pPr>
              <w:spacing w:after="0"/>
            </w:pPr>
            <w:r>
              <w:rPr>
                <w:rFonts w:ascii="Lato Black"/>
                <w:b/>
              </w:rPr>
              <w:t>State</w:t>
            </w:r>
          </w:p>
        </w:tc>
        <w:tc>
          <w:tcPr>
            <w:tcW w:w="5961" w:type="dxa"/>
          </w:tcPr>
          <w:p w:rsidR="00D82516" w:rsidRDefault="00D81FED">
            <w:pPr>
              <w:spacing w:after="0"/>
            </w:pPr>
            <w:r>
              <w:rPr>
                <w:rFonts w:ascii="Lato Black"/>
                <w:b/>
              </w:rPr>
              <w:t>Description</w:t>
            </w:r>
          </w:p>
        </w:tc>
      </w:tr>
      <w:tr w:rsidR="00D82516">
        <w:tblPrEx>
          <w:tblCellMar>
            <w:top w:w="0" w:type="dxa"/>
            <w:bottom w:w="0" w:type="dxa"/>
          </w:tblCellMar>
        </w:tblPrEx>
        <w:tc>
          <w:tcPr>
            <w:tcW w:w="4017" w:type="dxa"/>
          </w:tcPr>
          <w:p w:rsidR="00D82516" w:rsidRDefault="00D81FED">
            <w:pPr>
              <w:spacing w:after="0"/>
            </w:pPr>
            <w:r>
              <w:rPr>
                <w:rFonts w:ascii="Lato"/>
              </w:rPr>
              <w:t>§</w:t>
            </w:r>
            <w:r>
              <w:rPr>
                <w:rFonts w:ascii="Lato"/>
              </w:rPr>
              <w:t xml:space="preserve">161.670, </w:t>
            </w:r>
            <w:proofErr w:type="spellStart"/>
            <w:r>
              <w:rPr>
                <w:rFonts w:ascii="Lato"/>
              </w:rPr>
              <w:t>RSMo</w:t>
            </w:r>
            <w:proofErr w:type="spellEnd"/>
            <w:r>
              <w:rPr>
                <w:rFonts w:ascii="Lato"/>
              </w:rPr>
              <w:t>.</w:t>
            </w:r>
          </w:p>
        </w:tc>
        <w:tc>
          <w:tcPr>
            <w:tcW w:w="5961" w:type="dxa"/>
          </w:tcPr>
          <w:p w:rsidR="00D82516" w:rsidRDefault="00D81FED">
            <w:hyperlink r:id="rId5" w:docLocation="https://revisor.mo.gov/main/Home.aspx">
              <w:r>
                <w:rPr>
                  <w:rFonts w:ascii="Lato"/>
                  <w:color w:val="0000FF" w:themeColor="hyperlink"/>
                  <w:u w:val="single"/>
                </w:rPr>
                <w:t>State Statute</w:t>
              </w:r>
            </w:hyperlink>
          </w:p>
        </w:tc>
      </w:tr>
      <w:tr w:rsidR="00D82516">
        <w:tblPrEx>
          <w:tblCellMar>
            <w:top w:w="0" w:type="dxa"/>
            <w:bottom w:w="0" w:type="dxa"/>
          </w:tblCellMar>
        </w:tblPrEx>
        <w:tc>
          <w:tcPr>
            <w:tcW w:w="4017" w:type="dxa"/>
          </w:tcPr>
          <w:p w:rsidR="00D82516" w:rsidRDefault="00D81FED">
            <w:pPr>
              <w:spacing w:after="0"/>
            </w:pPr>
            <w:r>
              <w:rPr>
                <w:rFonts w:ascii="Lato"/>
              </w:rPr>
              <w:t>§</w:t>
            </w:r>
            <w:r>
              <w:rPr>
                <w:rFonts w:ascii="Lato"/>
              </w:rPr>
              <w:t xml:space="preserve">610.021, </w:t>
            </w:r>
            <w:proofErr w:type="spellStart"/>
            <w:r>
              <w:rPr>
                <w:rFonts w:ascii="Lato"/>
              </w:rPr>
              <w:t>RSMo</w:t>
            </w:r>
            <w:proofErr w:type="spellEnd"/>
            <w:r>
              <w:rPr>
                <w:rFonts w:ascii="Lato"/>
              </w:rPr>
              <w:t>.</w:t>
            </w:r>
          </w:p>
        </w:tc>
        <w:tc>
          <w:tcPr>
            <w:tcW w:w="5961" w:type="dxa"/>
          </w:tcPr>
          <w:p w:rsidR="00D82516" w:rsidRDefault="00D81FED">
            <w:hyperlink r:id="rId6" w:docLocation="https://revisor.mo.gov/main/Home.aspx">
              <w:r>
                <w:rPr>
                  <w:rFonts w:ascii="Lato"/>
                  <w:color w:val="0000FF" w:themeColor="hyperlink"/>
                  <w:u w:val="single"/>
                </w:rPr>
                <w:t>State Statute</w:t>
              </w:r>
            </w:hyperlink>
          </w:p>
        </w:tc>
      </w:tr>
      <w:tr w:rsidR="00D82516">
        <w:tblPrEx>
          <w:tblCellMar>
            <w:top w:w="0" w:type="dxa"/>
            <w:bottom w:w="0" w:type="dxa"/>
          </w:tblCellMar>
        </w:tblPrEx>
        <w:tc>
          <w:tcPr>
            <w:tcW w:w="4017" w:type="dxa"/>
          </w:tcPr>
          <w:p w:rsidR="00D82516" w:rsidRDefault="00D81FED">
            <w:pPr>
              <w:spacing w:after="0"/>
            </w:pPr>
            <w:r>
              <w:rPr>
                <w:rFonts w:ascii="Lato Black"/>
                <w:b/>
              </w:rPr>
              <w:t>Federal</w:t>
            </w:r>
          </w:p>
        </w:tc>
        <w:tc>
          <w:tcPr>
            <w:tcW w:w="5961" w:type="dxa"/>
          </w:tcPr>
          <w:p w:rsidR="00D82516" w:rsidRDefault="00D81FED">
            <w:pPr>
              <w:spacing w:after="0"/>
            </w:pPr>
            <w:r>
              <w:rPr>
                <w:rFonts w:ascii="Lato Black"/>
                <w:b/>
              </w:rPr>
              <w:t>Description</w:t>
            </w:r>
          </w:p>
        </w:tc>
      </w:tr>
      <w:tr w:rsidR="00D82516">
        <w:tblPrEx>
          <w:tblCellMar>
            <w:top w:w="0" w:type="dxa"/>
            <w:bottom w:w="0" w:type="dxa"/>
          </w:tblCellMar>
        </w:tblPrEx>
        <w:tc>
          <w:tcPr>
            <w:tcW w:w="4017" w:type="dxa"/>
          </w:tcPr>
          <w:p w:rsidR="00D82516" w:rsidRDefault="00D81FED">
            <w:pPr>
              <w:spacing w:after="0"/>
            </w:pPr>
            <w:r>
              <w:rPr>
                <w:rFonts w:ascii="Lato"/>
              </w:rPr>
              <w:lastRenderedPageBreak/>
              <w:t xml:space="preserve">20 U.S.C. </w:t>
            </w:r>
            <w:r>
              <w:rPr>
                <w:rFonts w:ascii="Lato"/>
              </w:rPr>
              <w:t>§</w:t>
            </w:r>
            <w:r>
              <w:rPr>
                <w:rFonts w:ascii="Lato"/>
              </w:rPr>
              <w:t xml:space="preserve"> 1400-1417</w:t>
            </w:r>
          </w:p>
        </w:tc>
        <w:tc>
          <w:tcPr>
            <w:tcW w:w="5961" w:type="dxa"/>
          </w:tcPr>
          <w:p w:rsidR="00D82516" w:rsidRDefault="00D81FED">
            <w:hyperlink r:id="rId7" w:docLocation="http://uscode.house.gov/">
              <w:r>
                <w:rPr>
                  <w:rFonts w:ascii="Lato"/>
                  <w:color w:val="0000FF" w:themeColor="hyperlink"/>
                  <w:u w:val="single"/>
                </w:rPr>
                <w:t>Individuals with Disabilit</w:t>
              </w:r>
              <w:r>
                <w:rPr>
                  <w:rFonts w:ascii="Lato"/>
                  <w:color w:val="0000FF" w:themeColor="hyperlink"/>
                  <w:u w:val="single"/>
                </w:rPr>
                <w:t>ies Education Act</w:t>
              </w:r>
            </w:hyperlink>
          </w:p>
        </w:tc>
      </w:tr>
      <w:tr w:rsidR="00D82516">
        <w:tblPrEx>
          <w:tblCellMar>
            <w:top w:w="0" w:type="dxa"/>
            <w:bottom w:w="0" w:type="dxa"/>
          </w:tblCellMar>
        </w:tblPrEx>
        <w:tc>
          <w:tcPr>
            <w:tcW w:w="4017" w:type="dxa"/>
          </w:tcPr>
          <w:p w:rsidR="00D82516" w:rsidRDefault="00D81FED">
            <w:pPr>
              <w:spacing w:after="0"/>
            </w:pPr>
            <w:r>
              <w:rPr>
                <w:rFonts w:ascii="Lato"/>
              </w:rPr>
              <w:t xml:space="preserve">29 U.S.C. </w:t>
            </w:r>
            <w:r>
              <w:rPr>
                <w:rFonts w:ascii="Lato"/>
              </w:rPr>
              <w:t>§</w:t>
            </w:r>
            <w:r>
              <w:rPr>
                <w:rFonts w:ascii="Lato"/>
              </w:rPr>
              <w:t xml:space="preserve"> 794</w:t>
            </w:r>
          </w:p>
        </w:tc>
        <w:tc>
          <w:tcPr>
            <w:tcW w:w="5961" w:type="dxa"/>
          </w:tcPr>
          <w:p w:rsidR="00D82516" w:rsidRDefault="00D81FED">
            <w:hyperlink r:id="rId8" w:docLocation="http://uscode.house.gov/">
              <w:r>
                <w:rPr>
                  <w:rFonts w:ascii="Lato"/>
                  <w:color w:val="0000FF" w:themeColor="hyperlink"/>
                  <w:u w:val="single"/>
                </w:rPr>
                <w:t>Section 504 of the Rehabilitation Act of 1973</w:t>
              </w:r>
            </w:hyperlink>
          </w:p>
        </w:tc>
      </w:tr>
      <w:tr w:rsidR="00D82516">
        <w:tblPrEx>
          <w:tblCellMar>
            <w:top w:w="0" w:type="dxa"/>
            <w:bottom w:w="0" w:type="dxa"/>
          </w:tblCellMar>
        </w:tblPrEx>
        <w:tc>
          <w:tcPr>
            <w:tcW w:w="4017" w:type="dxa"/>
          </w:tcPr>
          <w:p w:rsidR="00D82516" w:rsidRDefault="00D81FED">
            <w:pPr>
              <w:spacing w:after="0"/>
            </w:pPr>
            <w:r>
              <w:rPr>
                <w:rFonts w:ascii="Lato"/>
              </w:rPr>
              <w:t>34 C.F.R Part 104</w:t>
            </w:r>
          </w:p>
        </w:tc>
        <w:tc>
          <w:tcPr>
            <w:tcW w:w="5961" w:type="dxa"/>
          </w:tcPr>
          <w:p w:rsidR="00D82516" w:rsidRDefault="00D81FED">
            <w:hyperlink r:id="rId9" w:docLocation="http://www.law.cornell.edu/cfr/text">
              <w:r>
                <w:rPr>
                  <w:rFonts w:ascii="Lato"/>
                  <w:color w:val="0000FF" w:themeColor="hyperlink"/>
                  <w:u w:val="single"/>
                </w:rPr>
                <w:t>Section 504 of the Rehabilitation Act of 1973</w:t>
              </w:r>
            </w:hyperlink>
          </w:p>
        </w:tc>
      </w:tr>
      <w:tr w:rsidR="00D82516">
        <w:tblPrEx>
          <w:tblCellMar>
            <w:top w:w="0" w:type="dxa"/>
            <w:bottom w:w="0" w:type="dxa"/>
          </w:tblCellMar>
        </w:tblPrEx>
        <w:tc>
          <w:tcPr>
            <w:tcW w:w="4017" w:type="dxa"/>
          </w:tcPr>
          <w:p w:rsidR="00D82516" w:rsidRDefault="00D81FED">
            <w:pPr>
              <w:spacing w:after="0"/>
            </w:pPr>
            <w:r>
              <w:rPr>
                <w:rFonts w:ascii="Lato"/>
              </w:rPr>
              <w:t>34 C.F.R Part 300</w:t>
            </w:r>
          </w:p>
        </w:tc>
        <w:tc>
          <w:tcPr>
            <w:tcW w:w="5961" w:type="dxa"/>
          </w:tcPr>
          <w:p w:rsidR="00D82516" w:rsidRDefault="00D81FED">
            <w:hyperlink r:id="rId10" w:docLocation="http://www.law.cornell.edu/cfr/text">
              <w:r>
                <w:rPr>
                  <w:rFonts w:ascii="Lato"/>
                  <w:color w:val="0000FF" w:themeColor="hyperlink"/>
                  <w:u w:val="single"/>
                </w:rPr>
                <w:t>Individuals with Disabilities Education Act</w:t>
              </w:r>
            </w:hyperlink>
          </w:p>
        </w:tc>
      </w:tr>
      <w:tr w:rsidR="00D82516">
        <w:tblPrEx>
          <w:tblCellMar>
            <w:top w:w="0" w:type="dxa"/>
            <w:bottom w:w="0" w:type="dxa"/>
          </w:tblCellMar>
        </w:tblPrEx>
        <w:tc>
          <w:tcPr>
            <w:tcW w:w="4017" w:type="dxa"/>
          </w:tcPr>
          <w:p w:rsidR="00D82516" w:rsidRDefault="00D81FED">
            <w:pPr>
              <w:spacing w:after="0"/>
            </w:pPr>
            <w:r>
              <w:rPr>
                <w:rFonts w:ascii="Lato"/>
              </w:rPr>
              <w:t xml:space="preserve">42 U.S.C.  </w:t>
            </w:r>
            <w:r>
              <w:rPr>
                <w:rFonts w:ascii="Lato"/>
              </w:rPr>
              <w:t>§§</w:t>
            </w:r>
            <w:r>
              <w:rPr>
                <w:rFonts w:ascii="Lato"/>
              </w:rPr>
              <w:t xml:space="preserve"> 12101-12213</w:t>
            </w:r>
          </w:p>
        </w:tc>
        <w:tc>
          <w:tcPr>
            <w:tcW w:w="5961" w:type="dxa"/>
          </w:tcPr>
          <w:p w:rsidR="00D82516" w:rsidRDefault="00D81FED">
            <w:hyperlink r:id="rId11" w:docLocation="http://uscode.house.gov/">
              <w:r>
                <w:rPr>
                  <w:rFonts w:ascii="Lato"/>
                  <w:color w:val="0000FF" w:themeColor="hyperlink"/>
                  <w:u w:val="single"/>
                </w:rPr>
                <w:t>Americans with Disabilities Act</w:t>
              </w:r>
            </w:hyperlink>
          </w:p>
        </w:tc>
      </w:tr>
    </w:tbl>
    <w:p w:rsidR="00000000" w:rsidRDefault="00D81FED">
      <w:pPr>
        <w:shd w:val="clear" w:color="auto" w:fill="F9F9F9"/>
        <w:spacing w:line="480" w:lineRule="auto"/>
        <w:divId w:val="715617989"/>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D82516">
        <w:tblPrEx>
          <w:tblCellMar>
            <w:top w:w="0" w:type="dxa"/>
            <w:bottom w:w="0" w:type="dxa"/>
          </w:tblCellMar>
        </w:tblPrEx>
        <w:tc>
          <w:tcPr>
            <w:tcW w:w="4017" w:type="dxa"/>
          </w:tcPr>
          <w:p w:rsidR="00D82516" w:rsidRDefault="00D81FED">
            <w:pPr>
              <w:spacing w:after="0"/>
            </w:pPr>
            <w:r>
              <w:rPr>
                <w:rFonts w:ascii="Lato Black"/>
                <w:b/>
              </w:rPr>
              <w:t>Code</w:t>
            </w:r>
          </w:p>
        </w:tc>
        <w:tc>
          <w:tcPr>
            <w:tcW w:w="5961" w:type="dxa"/>
          </w:tcPr>
          <w:p w:rsidR="00D82516" w:rsidRDefault="00D81FED">
            <w:pPr>
              <w:spacing w:after="0"/>
            </w:pPr>
            <w:r>
              <w:rPr>
                <w:rFonts w:ascii="Lato Black"/>
                <w:b/>
              </w:rPr>
              <w:t>Description</w:t>
            </w:r>
          </w:p>
        </w:tc>
      </w:tr>
      <w:tr w:rsidR="00D82516">
        <w:tblPrEx>
          <w:tblCellMar>
            <w:top w:w="0" w:type="dxa"/>
            <w:bottom w:w="0" w:type="dxa"/>
          </w:tblCellMar>
        </w:tblPrEx>
        <w:tc>
          <w:tcPr>
            <w:tcW w:w="4017" w:type="dxa"/>
          </w:tcPr>
          <w:p w:rsidR="00D82516" w:rsidRDefault="00D81FED">
            <w:pPr>
              <w:spacing w:after="0"/>
            </w:pPr>
            <w:r>
              <w:rPr>
                <w:rFonts w:ascii="Lato"/>
              </w:rPr>
              <w:t>AC</w:t>
            </w:r>
          </w:p>
        </w:tc>
        <w:tc>
          <w:tcPr>
            <w:tcW w:w="5961" w:type="dxa"/>
          </w:tcPr>
          <w:p w:rsidR="00D82516" w:rsidRDefault="00D81FED">
            <w:hyperlink r:id="rId12" w:docLocation="https://simbli.eboardsolutions.com/Policy/ViewPolicy.aspx?S=36031111&amp;revid=jJbOXTUslshR52kdUsNlplusMAgw==">
              <w:r>
                <w:rPr>
                  <w:rFonts w:ascii="Lato"/>
                  <w:color w:val="0000FF" w:themeColor="hyperlink"/>
                  <w:u w:val="single"/>
                </w:rPr>
                <w:t>PROHIBITION AGAINST IL</w:t>
              </w:r>
              <w:r>
                <w:rPr>
                  <w:rFonts w:ascii="Lato"/>
                  <w:color w:val="0000FF" w:themeColor="hyperlink"/>
                  <w:u w:val="single"/>
                </w:rPr>
                <w:t>LEGAL DISCRIMINATION, HARASSMENT AND RETALIATION</w:t>
              </w:r>
            </w:hyperlink>
          </w:p>
        </w:tc>
      </w:tr>
      <w:tr w:rsidR="00D82516">
        <w:tblPrEx>
          <w:tblCellMar>
            <w:top w:w="0" w:type="dxa"/>
            <w:bottom w:w="0" w:type="dxa"/>
          </w:tblCellMar>
        </w:tblPrEx>
        <w:tc>
          <w:tcPr>
            <w:tcW w:w="4017" w:type="dxa"/>
          </w:tcPr>
          <w:p w:rsidR="00D82516" w:rsidRDefault="00D81FED">
            <w:pPr>
              <w:spacing w:after="0"/>
            </w:pPr>
            <w:r>
              <w:rPr>
                <w:rFonts w:ascii="Lato"/>
              </w:rPr>
              <w:t>BDC</w:t>
            </w:r>
          </w:p>
        </w:tc>
        <w:tc>
          <w:tcPr>
            <w:tcW w:w="5961" w:type="dxa"/>
          </w:tcPr>
          <w:p w:rsidR="00D82516" w:rsidRDefault="00D81FED">
            <w:hyperlink r:id="rId13" w:docLocation="https://simbli.eboardsolutions.com/Policy/ViewPolicy.aspx?S=36031111&amp;revid=vUplus4wcpWpUIpmxZmplusm2YxA==">
              <w:r>
                <w:rPr>
                  <w:rFonts w:ascii="Lato"/>
                  <w:color w:val="0000FF" w:themeColor="hyperlink"/>
                  <w:u w:val="single"/>
                </w:rPr>
                <w:t>CLOSED MEETINGS, RECORDS AND VOTES</w:t>
              </w:r>
            </w:hyperlink>
          </w:p>
        </w:tc>
      </w:tr>
      <w:tr w:rsidR="00D82516">
        <w:tblPrEx>
          <w:tblCellMar>
            <w:top w:w="0" w:type="dxa"/>
            <w:bottom w:w="0" w:type="dxa"/>
          </w:tblCellMar>
        </w:tblPrEx>
        <w:tc>
          <w:tcPr>
            <w:tcW w:w="4017" w:type="dxa"/>
          </w:tcPr>
          <w:p w:rsidR="00D82516" w:rsidRDefault="00D81FED">
            <w:pPr>
              <w:spacing w:after="0"/>
            </w:pPr>
            <w:r>
              <w:rPr>
                <w:rFonts w:ascii="Lato"/>
              </w:rPr>
              <w:t>BDDH-1</w:t>
            </w:r>
          </w:p>
        </w:tc>
        <w:tc>
          <w:tcPr>
            <w:tcW w:w="5961" w:type="dxa"/>
          </w:tcPr>
          <w:p w:rsidR="00D82516" w:rsidRDefault="00D81FED">
            <w:hyperlink r:id="rId14" w:docLocation="https://simbli.eboardsolutions.com/Policy/ViewPolicy.aspx?S=36031111&amp;revid=sSzkt9SFQWpt3plus6l7szhCg==">
              <w:r>
                <w:rPr>
                  <w:rFonts w:ascii="Lato"/>
                  <w:color w:val="0000FF" w:themeColor="hyperlink"/>
                  <w:u w:val="single"/>
                </w:rPr>
                <w:t>PUBLIC PARTICIPATION AT BOARD MEETINGS</w:t>
              </w:r>
            </w:hyperlink>
          </w:p>
        </w:tc>
      </w:tr>
      <w:tr w:rsidR="00D82516">
        <w:tblPrEx>
          <w:tblCellMar>
            <w:top w:w="0" w:type="dxa"/>
            <w:bottom w:w="0" w:type="dxa"/>
          </w:tblCellMar>
        </w:tblPrEx>
        <w:tc>
          <w:tcPr>
            <w:tcW w:w="4017" w:type="dxa"/>
          </w:tcPr>
          <w:p w:rsidR="00D82516" w:rsidRDefault="00D81FED">
            <w:pPr>
              <w:spacing w:after="0"/>
            </w:pPr>
            <w:r>
              <w:rPr>
                <w:rFonts w:ascii="Lato"/>
              </w:rPr>
              <w:t>BDDH-2</w:t>
            </w:r>
          </w:p>
        </w:tc>
        <w:tc>
          <w:tcPr>
            <w:tcW w:w="5961" w:type="dxa"/>
          </w:tcPr>
          <w:p w:rsidR="00D82516" w:rsidRDefault="00D81FED">
            <w:hyperlink r:id="rId15" w:docLocation="https://simbli.eboardsolutions.com/Policy/ViewPolicy.aspx?S=36031111&amp;revid=bKK824VbZfRlNuxo9MZWhA==">
              <w:r>
                <w:rPr>
                  <w:rFonts w:ascii="Lato"/>
                  <w:color w:val="0000FF" w:themeColor="hyperlink"/>
                  <w:u w:val="single"/>
                </w:rPr>
                <w:t>PUBLIC PARTICIPATION AT BOARD MEETINGS</w:t>
              </w:r>
            </w:hyperlink>
          </w:p>
        </w:tc>
      </w:tr>
      <w:tr w:rsidR="00D82516">
        <w:tblPrEx>
          <w:tblCellMar>
            <w:top w:w="0" w:type="dxa"/>
            <w:bottom w:w="0" w:type="dxa"/>
          </w:tblCellMar>
        </w:tblPrEx>
        <w:tc>
          <w:tcPr>
            <w:tcW w:w="4017" w:type="dxa"/>
          </w:tcPr>
          <w:p w:rsidR="00D82516" w:rsidRDefault="00D81FED">
            <w:pPr>
              <w:spacing w:after="0"/>
            </w:pPr>
            <w:r>
              <w:rPr>
                <w:rFonts w:ascii="Lato"/>
              </w:rPr>
              <w:t>JEA</w:t>
            </w:r>
          </w:p>
        </w:tc>
        <w:tc>
          <w:tcPr>
            <w:tcW w:w="5961" w:type="dxa"/>
          </w:tcPr>
          <w:p w:rsidR="00D82516" w:rsidRDefault="00D81FED">
            <w:hyperlink r:id="rId16" w:docLocation="https://simbli.eboardsolutions.com/Policy/ViewPolicy.aspx?S=36031111&amp;revid=xZpPsHDJOBIAEtJe45P4bA==">
              <w:r>
                <w:rPr>
                  <w:rFonts w:ascii="Lato"/>
                  <w:color w:val="0000FF" w:themeColor="hyperlink"/>
                  <w:u w:val="single"/>
                </w:rPr>
                <w:t>COMPULSORY AND PART-TIME ATTENDANC</w:t>
              </w:r>
              <w:r>
                <w:rPr>
                  <w:rFonts w:ascii="Lato"/>
                  <w:color w:val="0000FF" w:themeColor="hyperlink"/>
                  <w:u w:val="single"/>
                </w:rPr>
                <w:t>E</w:t>
              </w:r>
            </w:hyperlink>
          </w:p>
        </w:tc>
      </w:tr>
      <w:tr w:rsidR="00D82516">
        <w:tblPrEx>
          <w:tblCellMar>
            <w:top w:w="0" w:type="dxa"/>
            <w:bottom w:w="0" w:type="dxa"/>
          </w:tblCellMar>
        </w:tblPrEx>
        <w:tc>
          <w:tcPr>
            <w:tcW w:w="4017" w:type="dxa"/>
          </w:tcPr>
          <w:p w:rsidR="00D82516" w:rsidRDefault="00D81FED">
            <w:pPr>
              <w:spacing w:after="0"/>
            </w:pPr>
            <w:r>
              <w:rPr>
                <w:rFonts w:ascii="Lato"/>
              </w:rPr>
              <w:t>JEA-AP(1)</w:t>
            </w:r>
          </w:p>
        </w:tc>
        <w:tc>
          <w:tcPr>
            <w:tcW w:w="5961" w:type="dxa"/>
          </w:tcPr>
          <w:p w:rsidR="00D82516" w:rsidRDefault="00D81FED">
            <w:hyperlink r:id="rId17" w:docLocation="https://simbli.eboardsolutions.com/Policy/ViewPolicy.aspx?S=36031111&amp;revid=KoeJxgViyj4v6IA4plusyjHIw==">
              <w:r>
                <w:rPr>
                  <w:rFonts w:ascii="Lato"/>
                  <w:color w:val="0000FF" w:themeColor="hyperlink"/>
                  <w:u w:val="single"/>
                </w:rPr>
                <w:t>COMPULSORY AN</w:t>
              </w:r>
              <w:r>
                <w:rPr>
                  <w:rFonts w:ascii="Lato"/>
                  <w:color w:val="0000FF" w:themeColor="hyperlink"/>
                  <w:u w:val="single"/>
                </w:rPr>
                <w:t>D PART-TIME ATTENDANCE - (Part-Time Attendance)</w:t>
              </w:r>
            </w:hyperlink>
          </w:p>
        </w:tc>
      </w:tr>
      <w:tr w:rsidR="00D82516">
        <w:tblPrEx>
          <w:tblCellMar>
            <w:top w:w="0" w:type="dxa"/>
            <w:bottom w:w="0" w:type="dxa"/>
          </w:tblCellMar>
        </w:tblPrEx>
        <w:tc>
          <w:tcPr>
            <w:tcW w:w="4017" w:type="dxa"/>
          </w:tcPr>
          <w:p w:rsidR="00D82516" w:rsidRDefault="00D81FED">
            <w:pPr>
              <w:spacing w:after="0"/>
            </w:pPr>
            <w:r>
              <w:rPr>
                <w:rFonts w:ascii="Lato"/>
              </w:rPr>
              <w:t>JECC-1</w:t>
            </w:r>
          </w:p>
        </w:tc>
        <w:tc>
          <w:tcPr>
            <w:tcW w:w="5961" w:type="dxa"/>
          </w:tcPr>
          <w:p w:rsidR="00D82516" w:rsidRDefault="00D81FED">
            <w:hyperlink r:id="rId18" w:docLocation="https://simbli.eboardsolutions.com/Policy/ViewPolicy.aspx?S=36031111&amp;revid=XzLDtW7GfpSigWuKOqr91Q==">
              <w:r>
                <w:rPr>
                  <w:rFonts w:ascii="Lato"/>
                  <w:color w:val="0000FF" w:themeColor="hyperlink"/>
                  <w:u w:val="single"/>
                </w:rPr>
                <w:t>ASSIGNMENT OF STUDENTS TO GRADE LEVELS/CLASSES</w:t>
              </w:r>
            </w:hyperlink>
          </w:p>
        </w:tc>
      </w:tr>
      <w:tr w:rsidR="00D82516">
        <w:tblPrEx>
          <w:tblCellMar>
            <w:top w:w="0" w:type="dxa"/>
            <w:bottom w:w="0" w:type="dxa"/>
          </w:tblCellMar>
        </w:tblPrEx>
        <w:tc>
          <w:tcPr>
            <w:tcW w:w="4017" w:type="dxa"/>
          </w:tcPr>
          <w:p w:rsidR="00D82516" w:rsidRDefault="00D81FED">
            <w:pPr>
              <w:spacing w:after="0"/>
            </w:pPr>
            <w:r>
              <w:rPr>
                <w:rFonts w:ascii="Lato"/>
              </w:rPr>
              <w:t>JECC-2</w:t>
            </w:r>
          </w:p>
        </w:tc>
        <w:tc>
          <w:tcPr>
            <w:tcW w:w="5961" w:type="dxa"/>
          </w:tcPr>
          <w:p w:rsidR="00D82516" w:rsidRDefault="00D81FED">
            <w:hyperlink r:id="rId19" w:docLocation="https://simbli.eboardsolutions.com/Policy/ViewPolicy.aspx?S=36031111&amp;revid=1JDbvv5edT89NI2cVWJaaA==">
              <w:r>
                <w:rPr>
                  <w:rFonts w:ascii="Lato"/>
                  <w:color w:val="0000FF" w:themeColor="hyperlink"/>
                  <w:u w:val="single"/>
                </w:rPr>
                <w:t>ASSIGNMENT OF STUDENTS TO GRADE LEVELS/CLASSES</w:t>
              </w:r>
            </w:hyperlink>
          </w:p>
        </w:tc>
      </w:tr>
      <w:tr w:rsidR="00D82516">
        <w:tblPrEx>
          <w:tblCellMar>
            <w:top w:w="0" w:type="dxa"/>
            <w:bottom w:w="0" w:type="dxa"/>
          </w:tblCellMar>
        </w:tblPrEx>
        <w:tc>
          <w:tcPr>
            <w:tcW w:w="4017" w:type="dxa"/>
          </w:tcPr>
          <w:p w:rsidR="00D82516" w:rsidRDefault="00D81FED">
            <w:pPr>
              <w:spacing w:after="0"/>
            </w:pPr>
            <w:r>
              <w:rPr>
                <w:rFonts w:ascii="Lato"/>
              </w:rPr>
              <w:t>JFCF</w:t>
            </w:r>
          </w:p>
        </w:tc>
        <w:tc>
          <w:tcPr>
            <w:tcW w:w="5961" w:type="dxa"/>
          </w:tcPr>
          <w:p w:rsidR="00D82516" w:rsidRDefault="00D81FED">
            <w:hyperlink r:id="rId20" w:docLocation="https://simbli.eboardsolutions.com/Policy/ViewPolicy.aspx?S=36031111&amp;revid=tW1xbz4MTnJb0bwkdlSZ0Q==">
              <w:r>
                <w:rPr>
                  <w:rFonts w:ascii="Lato"/>
                  <w:color w:val="0000FF" w:themeColor="hyperlink"/>
                  <w:u w:val="single"/>
                </w:rPr>
                <w:t>BULLYING</w:t>
              </w:r>
            </w:hyperlink>
          </w:p>
        </w:tc>
      </w:tr>
      <w:tr w:rsidR="00D82516">
        <w:tblPrEx>
          <w:tblCellMar>
            <w:top w:w="0" w:type="dxa"/>
            <w:bottom w:w="0" w:type="dxa"/>
          </w:tblCellMar>
        </w:tblPrEx>
        <w:tc>
          <w:tcPr>
            <w:tcW w:w="4017" w:type="dxa"/>
          </w:tcPr>
          <w:p w:rsidR="00D82516" w:rsidRDefault="00D81FED">
            <w:pPr>
              <w:spacing w:after="0"/>
            </w:pPr>
            <w:r>
              <w:rPr>
                <w:rFonts w:ascii="Lato"/>
              </w:rPr>
              <w:t>JHD</w:t>
            </w:r>
          </w:p>
        </w:tc>
        <w:tc>
          <w:tcPr>
            <w:tcW w:w="5961" w:type="dxa"/>
          </w:tcPr>
          <w:p w:rsidR="00D82516" w:rsidRDefault="00D81FED">
            <w:hyperlink r:id="rId21" w:docLocation="https://simbli.eboardsolutions.com/Policy/ViewPolicy.aspx?S=36031111&amp;revid=W09XLkS5Hdk0pDVMImJslshJw==">
              <w:r>
                <w:rPr>
                  <w:rFonts w:ascii="Lato"/>
                  <w:color w:val="0000FF" w:themeColor="hyperlink"/>
                  <w:u w:val="single"/>
                </w:rPr>
                <w:t>STUDENT COUNSELING PROGRAM</w:t>
              </w:r>
            </w:hyperlink>
          </w:p>
        </w:tc>
      </w:tr>
    </w:tbl>
    <w:p w:rsidR="00D81FED" w:rsidRDefault="00D81FED"/>
    <w:sectPr w:rsidR="00D81FED">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6"/>
    <w:rsid w:val="00C068AC"/>
    <w:rsid w:val="00D81FED"/>
    <w:rsid w:val="00D8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7890">
      <w:bodyDiv w:val="1"/>
      <w:marLeft w:val="0"/>
      <w:marRight w:val="0"/>
      <w:marTop w:val="0"/>
      <w:marBottom w:val="0"/>
      <w:divBdr>
        <w:top w:val="none" w:sz="0" w:space="0" w:color="auto"/>
        <w:left w:val="none" w:sz="0" w:space="0" w:color="auto"/>
        <w:bottom w:val="none" w:sz="0" w:space="0" w:color="auto"/>
        <w:right w:val="none" w:sz="0" w:space="0" w:color="auto"/>
      </w:divBdr>
      <w:divsChild>
        <w:div w:id="715617989">
          <w:marLeft w:val="0"/>
          <w:marRight w:val="0"/>
          <w:marTop w:val="150"/>
          <w:marBottom w:val="0"/>
          <w:divBdr>
            <w:top w:val="none" w:sz="0" w:space="0" w:color="auto"/>
            <w:left w:val="none" w:sz="0" w:space="0" w:color="auto"/>
            <w:bottom w:val="none" w:sz="0" w:space="0" w:color="auto"/>
            <w:right w:val="none" w:sz="0" w:space="0" w:color="auto"/>
          </w:divBdr>
        </w:div>
      </w:divsChild>
    </w:div>
    <w:div w:id="400716702">
      <w:bodyDiv w:val="1"/>
      <w:marLeft w:val="0"/>
      <w:marRight w:val="0"/>
      <w:marTop w:val="0"/>
      <w:marBottom w:val="0"/>
      <w:divBdr>
        <w:top w:val="none" w:sz="0" w:space="0" w:color="auto"/>
        <w:left w:val="none" w:sz="0" w:space="0" w:color="auto"/>
        <w:bottom w:val="none" w:sz="0" w:space="0" w:color="auto"/>
        <w:right w:val="none" w:sz="0" w:space="0" w:color="auto"/>
      </w:divBdr>
      <w:divsChild>
        <w:div w:id="1301307069">
          <w:marLeft w:val="0"/>
          <w:marRight w:val="0"/>
          <w:marTop w:val="0"/>
          <w:marBottom w:val="0"/>
          <w:divBdr>
            <w:top w:val="none" w:sz="0" w:space="0" w:color="auto"/>
            <w:left w:val="none" w:sz="0" w:space="0" w:color="auto"/>
            <w:bottom w:val="none" w:sz="0" w:space="0" w:color="auto"/>
            <w:right w:val="none" w:sz="0" w:space="0" w:color="auto"/>
          </w:divBdr>
          <w:divsChild>
            <w:div w:id="1454137112">
              <w:marLeft w:val="0"/>
              <w:marRight w:val="0"/>
              <w:marTop w:val="0"/>
              <w:marBottom w:val="0"/>
              <w:divBdr>
                <w:top w:val="none" w:sz="0" w:space="0" w:color="auto"/>
                <w:left w:val="none" w:sz="0" w:space="0" w:color="auto"/>
                <w:bottom w:val="none" w:sz="0" w:space="0" w:color="auto"/>
                <w:right w:val="none" w:sz="0" w:space="0" w:color="auto"/>
              </w:divBdr>
              <w:divsChild>
                <w:div w:id="9139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2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13" Type="http://schemas.openxmlformats.org/officeDocument/2006/relationships/hyperlink" Target="https://simbli.eboardsolutions.com/Policy/ViewPolicy.aspx?S=36031111&amp;revid=vUplus4wcpWpUIpmxZmplusm2YxA==" TargetMode="External"/><Relationship Id="rId18" Type="http://schemas.openxmlformats.org/officeDocument/2006/relationships/hyperlink" Target="https://simbli.eboardsolutions.com/Policy/ViewPolicy.aspx?S=36031111&amp;revid=XzLDtW7GfpSigWuKOqr91Q==" TargetMode="External"/><Relationship Id="rId3" Type="http://schemas.openxmlformats.org/officeDocument/2006/relationships/settings" Target="settings.xml"/><Relationship Id="rId21" Type="http://schemas.openxmlformats.org/officeDocument/2006/relationships/hyperlink" Target="https://simbli.eboardsolutions.com/Policy/ViewPolicy.aspx?S=36031111&amp;revid=W09XLkS5Hdk0pDVMImJslshJw==" TargetMode="External"/><Relationship Id="rId7" Type="http://schemas.openxmlformats.org/officeDocument/2006/relationships/hyperlink" Target="http://uscode.house.gov/" TargetMode="External"/><Relationship Id="rId12" Type="http://schemas.openxmlformats.org/officeDocument/2006/relationships/hyperlink" Target="https://simbli.eboardsolutions.com/Policy/ViewPolicy.aspx?S=36031111&amp;revid=jJbOXTUslshR52kdUsNlplusMAgw==" TargetMode="External"/><Relationship Id="rId17" Type="http://schemas.openxmlformats.org/officeDocument/2006/relationships/hyperlink" Target="https://simbli.eboardsolutions.com/Policy/ViewPolicy.aspx?S=36031111&amp;revid=KoeJxgViyj4v6IA4plusyjHIw==" TargetMode="External"/><Relationship Id="rId2" Type="http://schemas.microsoft.com/office/2007/relationships/stylesWithEffects" Target="stylesWithEffects.xml"/><Relationship Id="rId16" Type="http://schemas.openxmlformats.org/officeDocument/2006/relationships/hyperlink" Target="https://simbli.eboardsolutions.com/Policy/ViewPolicy.aspx?S=36031111&amp;revid=xZpPsHDJOBIAEtJe45P4bA==" TargetMode="External"/><Relationship Id="rId20" Type="http://schemas.openxmlformats.org/officeDocument/2006/relationships/hyperlink" Target="https://simbli.eboardsolutions.com/Policy/ViewPolicy.aspx?S=36031111&amp;revid=tW1xbz4MTnJb0bwkdlSZ0Q==" TargetMode="External"/><Relationship Id="rId1" Type="http://schemas.openxmlformats.org/officeDocument/2006/relationships/styles" Target="styles.xml"/><Relationship Id="rId6" Type="http://schemas.openxmlformats.org/officeDocument/2006/relationships/hyperlink" Target="https://revisor.mo.gov/main/Home.aspx" TargetMode="External"/><Relationship Id="rId11" Type="http://schemas.openxmlformats.org/officeDocument/2006/relationships/hyperlink" Target="http://uscode.house.gov/" TargetMode="External"/><Relationship Id="rId5" Type="http://schemas.openxmlformats.org/officeDocument/2006/relationships/hyperlink" Target="https://revisor.mo.gov/main/Home.aspx" TargetMode="External"/><Relationship Id="rId15" Type="http://schemas.openxmlformats.org/officeDocument/2006/relationships/hyperlink" Target="https://simbli.eboardsolutions.com/Policy/ViewPolicy.aspx?S=36031111&amp;revid=bKK824VbZfRlNuxo9MZWhA==" TargetMode="External"/><Relationship Id="rId23" Type="http://schemas.openxmlformats.org/officeDocument/2006/relationships/theme" Target="theme/theme1.xml"/><Relationship Id="rId10" Type="http://schemas.openxmlformats.org/officeDocument/2006/relationships/hyperlink" Target="http://www.law.cornell.edu/cfr/text" TargetMode="External"/><Relationship Id="rId19" Type="http://schemas.openxmlformats.org/officeDocument/2006/relationships/hyperlink" Target="https://simbli.eboardsolutions.com/Policy/ViewPolicy.aspx?S=36031111&amp;revid=1JDbvv5edT89NI2cVWJaaA==" TargetMode="External"/><Relationship Id="rId4" Type="http://schemas.openxmlformats.org/officeDocument/2006/relationships/webSettings" Target="webSettings.xml"/><Relationship Id="rId9" Type="http://schemas.openxmlformats.org/officeDocument/2006/relationships/hyperlink" Target="http://www.law.cornell.edu/cfr/text" TargetMode="External"/><Relationship Id="rId14" Type="http://schemas.openxmlformats.org/officeDocument/2006/relationships/hyperlink" Target="https://simbli.eboardsolutions.com/Policy/ViewPolicy.aspx?S=36031111&amp;revid=sSzkt9SFQWpt3plus6l7szhC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2023-03-07T16:57:00Z</dcterms:created>
  <dcterms:modified xsi:type="dcterms:W3CDTF">2023-03-07T16:57:00Z</dcterms:modified>
</cp:coreProperties>
</file>